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257801">
        <w:rPr>
          <w:sz w:val="28"/>
          <w:szCs w:val="28"/>
          <w:lang w:val="en-US"/>
        </w:rPr>
        <w:t>23</w:t>
      </w:r>
      <w:r w:rsidRPr="007F1A64">
        <w:rPr>
          <w:sz w:val="28"/>
          <w:szCs w:val="28"/>
        </w:rPr>
        <w:t>.</w:t>
      </w:r>
      <w:r w:rsidR="0051013C">
        <w:rPr>
          <w:sz w:val="28"/>
          <w:szCs w:val="28"/>
          <w:lang w:val="en-US"/>
        </w:rPr>
        <w:t>0</w:t>
      </w:r>
      <w:r w:rsidR="00257801">
        <w:rPr>
          <w:sz w:val="28"/>
          <w:szCs w:val="28"/>
          <w:lang w:val="en-US"/>
        </w:rPr>
        <w:t>4</w:t>
      </w:r>
      <w:r w:rsidRPr="007F1A64">
        <w:rPr>
          <w:sz w:val="28"/>
          <w:szCs w:val="28"/>
        </w:rPr>
        <w:t>.201</w:t>
      </w:r>
      <w:r w:rsidR="0051013C">
        <w:rPr>
          <w:sz w:val="28"/>
          <w:szCs w:val="28"/>
          <w:lang w:val="en-US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10031C" w:rsidRDefault="00770EA6" w:rsidP="0010031C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10031C" w:rsidRPr="000C5FE1">
        <w:rPr>
          <w:sz w:val="28"/>
          <w:szCs w:val="28"/>
        </w:rPr>
        <w:t xml:space="preserve">затвердження спеціалізацій </w:t>
      </w:r>
    </w:p>
    <w:p w:rsidR="0010031C" w:rsidRDefault="0010031C" w:rsidP="0010031C">
      <w:pPr>
        <w:rPr>
          <w:sz w:val="28"/>
          <w:szCs w:val="28"/>
        </w:rPr>
      </w:pPr>
      <w:r w:rsidRPr="000C5FE1">
        <w:rPr>
          <w:sz w:val="28"/>
          <w:szCs w:val="28"/>
        </w:rPr>
        <w:t xml:space="preserve">«Комерційна діяльність та логістика» </w:t>
      </w:r>
    </w:p>
    <w:p w:rsidR="0010031C" w:rsidRDefault="0010031C" w:rsidP="0010031C">
      <w:pPr>
        <w:rPr>
          <w:sz w:val="28"/>
          <w:szCs w:val="28"/>
        </w:rPr>
      </w:pPr>
      <w:r w:rsidRPr="000C5FE1">
        <w:rPr>
          <w:sz w:val="28"/>
          <w:szCs w:val="28"/>
        </w:rPr>
        <w:t xml:space="preserve">та «Облік, аудит та оподаткування» на </w:t>
      </w:r>
    </w:p>
    <w:p w:rsidR="0010031C" w:rsidRDefault="0010031C" w:rsidP="0010031C">
      <w:pPr>
        <w:rPr>
          <w:sz w:val="28"/>
          <w:szCs w:val="28"/>
        </w:rPr>
      </w:pPr>
      <w:r w:rsidRPr="000C5FE1">
        <w:rPr>
          <w:sz w:val="28"/>
          <w:szCs w:val="28"/>
        </w:rPr>
        <w:t xml:space="preserve">спеціальності «076 Підприємництво, торгівля </w:t>
      </w:r>
    </w:p>
    <w:p w:rsidR="0010031C" w:rsidRDefault="0010031C" w:rsidP="0010031C">
      <w:pPr>
        <w:rPr>
          <w:sz w:val="28"/>
          <w:szCs w:val="28"/>
        </w:rPr>
      </w:pPr>
      <w:r w:rsidRPr="000C5FE1">
        <w:rPr>
          <w:sz w:val="28"/>
          <w:szCs w:val="28"/>
        </w:rPr>
        <w:t xml:space="preserve">та біржова діяльність» денної та заочної форми </w:t>
      </w:r>
    </w:p>
    <w:p w:rsidR="00770EA6" w:rsidRPr="00770EA6" w:rsidRDefault="0010031C" w:rsidP="0010031C">
      <w:pPr>
        <w:rPr>
          <w:sz w:val="28"/>
          <w:szCs w:val="28"/>
        </w:rPr>
      </w:pPr>
      <w:bookmarkStart w:id="0" w:name="_GoBack"/>
      <w:bookmarkEnd w:id="0"/>
      <w:r w:rsidRPr="000C5FE1">
        <w:rPr>
          <w:sz w:val="28"/>
          <w:szCs w:val="28"/>
        </w:rPr>
        <w:t>навчання рівня вищої освіти «бакалавр»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 w:rsidR="00913FE4">
        <w:rPr>
          <w:sz w:val="28"/>
          <w:szCs w:val="28"/>
        </w:rPr>
        <w:t xml:space="preserve">декана </w:t>
      </w:r>
      <w:r w:rsidR="00913FE4" w:rsidRPr="00036D85">
        <w:rPr>
          <w:sz w:val="28"/>
          <w:szCs w:val="28"/>
        </w:rPr>
        <w:t xml:space="preserve">факультету </w:t>
      </w:r>
      <w:r w:rsidR="0010031C" w:rsidRPr="00512CB7">
        <w:rPr>
          <w:sz w:val="28"/>
          <w:szCs w:val="28"/>
        </w:rPr>
        <w:t xml:space="preserve">економіки і менеджменту </w:t>
      </w:r>
      <w:r w:rsidR="0010031C">
        <w:rPr>
          <w:sz w:val="28"/>
          <w:szCs w:val="28"/>
        </w:rPr>
        <w:t xml:space="preserve">Соловйова </w:t>
      </w:r>
      <w:proofErr w:type="spellStart"/>
      <w:r w:rsidR="0010031C">
        <w:rPr>
          <w:sz w:val="28"/>
          <w:szCs w:val="28"/>
        </w:rPr>
        <w:t>А.І</w:t>
      </w:r>
      <w:proofErr w:type="spellEnd"/>
      <w:r w:rsidR="0010031C">
        <w:rPr>
          <w:sz w:val="28"/>
          <w:szCs w:val="28"/>
        </w:rPr>
        <w:t xml:space="preserve">. </w:t>
      </w:r>
      <w:r w:rsidR="00913FE4">
        <w:rPr>
          <w:sz w:val="28"/>
          <w:szCs w:val="28"/>
        </w:rPr>
        <w:t xml:space="preserve">про </w:t>
      </w:r>
      <w:r w:rsidR="0010031C" w:rsidRPr="000C5FE1">
        <w:rPr>
          <w:sz w:val="28"/>
          <w:szCs w:val="28"/>
        </w:rPr>
        <w:t>затвердження спеціалізацій «Комерційна діяльність та логістика» та «Облік, аудит та оподаткування» на спеціальності «076 Підприємництво, торгівля та біржова діяльність» денної та заочної форми навчання рівня вищої освіти «бакалавр»</w:t>
      </w:r>
      <w:r w:rsidR="0010031C">
        <w:rPr>
          <w:sz w:val="28"/>
          <w:szCs w:val="28"/>
        </w:rPr>
        <w:t xml:space="preserve"> </w:t>
      </w:r>
      <w:r w:rsidR="0010031C" w:rsidRPr="00512CB7">
        <w:rPr>
          <w:sz w:val="28"/>
          <w:szCs w:val="28"/>
        </w:rPr>
        <w:t>у зв’язку з обставинами, які склалися на ринку освітніх послуг, з метою всебічного задоволення потреб потенційних студентів та на підставі рішення вченої ради факультету економіки і менеджменту (витяг</w:t>
      </w:r>
      <w:r w:rsidR="0010031C" w:rsidRPr="009555A3">
        <w:rPr>
          <w:sz w:val="28"/>
          <w:szCs w:val="28"/>
        </w:rPr>
        <w:t xml:space="preserve"> з протоколу від </w:t>
      </w:r>
      <w:r w:rsidR="0010031C">
        <w:rPr>
          <w:sz w:val="28"/>
          <w:szCs w:val="28"/>
        </w:rPr>
        <w:t>16</w:t>
      </w:r>
      <w:r w:rsidR="0010031C" w:rsidRPr="009555A3">
        <w:rPr>
          <w:sz w:val="28"/>
          <w:szCs w:val="28"/>
        </w:rPr>
        <w:t xml:space="preserve"> </w:t>
      </w:r>
      <w:r w:rsidR="0010031C">
        <w:rPr>
          <w:sz w:val="28"/>
          <w:szCs w:val="28"/>
        </w:rPr>
        <w:t>квітня</w:t>
      </w:r>
      <w:r w:rsidR="0010031C" w:rsidRPr="009555A3">
        <w:rPr>
          <w:sz w:val="28"/>
          <w:szCs w:val="28"/>
        </w:rPr>
        <w:t xml:space="preserve"> 2018 року</w:t>
      </w:r>
      <w:r w:rsidR="0010031C">
        <w:rPr>
          <w:sz w:val="28"/>
          <w:szCs w:val="28"/>
        </w:rPr>
        <w:t xml:space="preserve"> </w:t>
      </w:r>
      <w:r w:rsidR="0010031C" w:rsidRPr="009555A3">
        <w:rPr>
          <w:sz w:val="28"/>
          <w:szCs w:val="28"/>
        </w:rPr>
        <w:t xml:space="preserve">№ </w:t>
      </w:r>
      <w:r w:rsidR="0010031C">
        <w:rPr>
          <w:sz w:val="28"/>
          <w:szCs w:val="28"/>
        </w:rPr>
        <w:t>8</w:t>
      </w:r>
      <w:r w:rsidR="0010031C" w:rsidRPr="009555A3">
        <w:rPr>
          <w:sz w:val="28"/>
          <w:szCs w:val="28"/>
        </w:rPr>
        <w:t>)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3E12A2" w:rsidRDefault="0010031C" w:rsidP="00913FE4">
      <w:pPr>
        <w:ind w:firstLine="709"/>
        <w:jc w:val="both"/>
        <w:rPr>
          <w:sz w:val="28"/>
          <w:szCs w:val="28"/>
        </w:rPr>
      </w:pPr>
      <w:r w:rsidRPr="009555A3">
        <w:rPr>
          <w:sz w:val="28"/>
          <w:szCs w:val="28"/>
        </w:rPr>
        <w:t xml:space="preserve">Затвердити спеціалізації </w:t>
      </w:r>
      <w:r w:rsidRPr="000C5FE1">
        <w:rPr>
          <w:sz w:val="28"/>
          <w:szCs w:val="28"/>
        </w:rPr>
        <w:t>«Комерційна діяльність та логістика» та «Облік, аудит та оподаткування» на спеціальності «076 Підприємництво, торгівля та біржова діяльність» денної та заочної форми навчання рівня вищої освіти «бакалавр»</w:t>
      </w:r>
      <w:r w:rsidR="00913FE4">
        <w:rPr>
          <w:sz w:val="28"/>
          <w:szCs w:val="28"/>
        </w:rPr>
        <w:t>.</w:t>
      </w:r>
    </w:p>
    <w:p w:rsidR="00913FE4" w:rsidRDefault="00913FE4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257801">
        <w:rPr>
          <w:bCs/>
          <w:sz w:val="28"/>
          <w:szCs w:val="22"/>
        </w:rPr>
        <w:t>а:</w:t>
      </w:r>
      <w:r w:rsidR="00257801"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257801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002B8C"/>
    <w:multiLevelType w:val="hybridMultilevel"/>
    <w:tmpl w:val="205AA08A"/>
    <w:lvl w:ilvl="0" w:tplc="F75E9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031C"/>
    <w:rsid w:val="00106393"/>
    <w:rsid w:val="002247C6"/>
    <w:rsid w:val="00257801"/>
    <w:rsid w:val="0032104E"/>
    <w:rsid w:val="00356F61"/>
    <w:rsid w:val="00370B54"/>
    <w:rsid w:val="0051013C"/>
    <w:rsid w:val="006C6008"/>
    <w:rsid w:val="00770EA6"/>
    <w:rsid w:val="00913FE4"/>
    <w:rsid w:val="00D97D44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2017-10-27T07:12:00Z</cp:lastPrinted>
  <dcterms:created xsi:type="dcterms:W3CDTF">2017-09-21T12:46:00Z</dcterms:created>
  <dcterms:modified xsi:type="dcterms:W3CDTF">2018-09-28T08:31:00Z</dcterms:modified>
</cp:coreProperties>
</file>